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0" w:line="222" w:lineRule="auto"/>
        <w:ind w:left="32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2"/>
          <w:sz w:val="28"/>
          <w:szCs w:val="28"/>
        </w:rPr>
        <w:t>附件</w:t>
      </w:r>
      <w:r>
        <w:rPr>
          <w:rFonts w:ascii="仿宋" w:hAnsi="仿宋" w:eastAsia="仿宋" w:cs="仿宋"/>
          <w:spacing w:val="-1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sz w:val="28"/>
          <w:szCs w:val="28"/>
        </w:rPr>
        <w:t>1  我校</w:t>
      </w:r>
      <w:r>
        <w:rPr>
          <w:rFonts w:hint="eastAsia" w:ascii="仿宋" w:hAnsi="仿宋" w:eastAsia="仿宋" w:cs="仿宋"/>
          <w:spacing w:val="-6"/>
          <w:sz w:val="28"/>
          <w:szCs w:val="28"/>
          <w:lang w:val="en-US" w:eastAsia="zh-CN"/>
        </w:rPr>
        <w:t>未结题</w:t>
      </w:r>
      <w:r>
        <w:rPr>
          <w:rFonts w:ascii="仿宋" w:hAnsi="仿宋" w:eastAsia="仿宋" w:cs="仿宋"/>
          <w:spacing w:val="-6"/>
          <w:sz w:val="28"/>
          <w:szCs w:val="28"/>
        </w:rPr>
        <w:t>的 2018-202</w:t>
      </w:r>
      <w:r>
        <w:rPr>
          <w:rFonts w:hint="eastAsia" w:ascii="仿宋" w:hAnsi="仿宋" w:eastAsia="仿宋" w:cs="仿宋"/>
          <w:spacing w:val="-6"/>
          <w:sz w:val="28"/>
          <w:szCs w:val="28"/>
          <w:lang w:val="en-US" w:eastAsia="zh-CN"/>
        </w:rPr>
        <w:t>1</w:t>
      </w:r>
      <w:r>
        <w:rPr>
          <w:rFonts w:ascii="仿宋" w:hAnsi="仿宋" w:eastAsia="仿宋" w:cs="仿宋"/>
          <w:spacing w:val="-6"/>
          <w:sz w:val="28"/>
          <w:szCs w:val="28"/>
        </w:rPr>
        <w:t xml:space="preserve"> 年度</w:t>
      </w:r>
      <w:r>
        <w:rPr>
          <w:rFonts w:hint="eastAsia" w:ascii="仿宋" w:hAnsi="仿宋" w:eastAsia="仿宋" w:cs="仿宋"/>
          <w:spacing w:val="-6"/>
          <w:sz w:val="28"/>
          <w:szCs w:val="28"/>
        </w:rPr>
        <w:t>广东省普通高校</w:t>
      </w:r>
      <w:r>
        <w:rPr>
          <w:rFonts w:ascii="仿宋" w:hAnsi="仿宋" w:eastAsia="仿宋" w:cs="仿宋"/>
          <w:spacing w:val="-6"/>
          <w:sz w:val="28"/>
          <w:szCs w:val="28"/>
        </w:rPr>
        <w:t>科研项目一览表</w:t>
      </w:r>
    </w:p>
    <w:p>
      <w:pPr>
        <w:spacing w:line="115" w:lineRule="exact"/>
      </w:pPr>
    </w:p>
    <w:tbl>
      <w:tblPr>
        <w:tblStyle w:val="4"/>
        <w:tblW w:w="888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0"/>
        <w:gridCol w:w="1846"/>
        <w:gridCol w:w="4733"/>
        <w:gridCol w:w="178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520" w:type="dxa"/>
            <w:vAlign w:val="top"/>
          </w:tcPr>
          <w:p>
            <w:pPr>
              <w:spacing w:before="164" w:line="231" w:lineRule="auto"/>
              <w:ind w:left="5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846" w:type="dxa"/>
            <w:vAlign w:val="top"/>
          </w:tcPr>
          <w:p>
            <w:pPr>
              <w:spacing w:before="164" w:line="232" w:lineRule="auto"/>
              <w:ind w:left="5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立项编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4733" w:type="dxa"/>
            <w:vAlign w:val="top"/>
          </w:tcPr>
          <w:p>
            <w:pPr>
              <w:spacing w:before="164" w:line="229" w:lineRule="auto"/>
              <w:ind w:left="195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称</w:t>
            </w:r>
          </w:p>
        </w:tc>
        <w:tc>
          <w:tcPr>
            <w:tcW w:w="1782" w:type="dxa"/>
            <w:vAlign w:val="top"/>
          </w:tcPr>
          <w:p>
            <w:pPr>
              <w:spacing w:before="164" w:line="232" w:lineRule="auto"/>
              <w:ind w:left="38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负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责人姓名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20" w:type="dxa"/>
            <w:vAlign w:val="top"/>
          </w:tcPr>
          <w:p>
            <w:pPr>
              <w:spacing w:before="221" w:line="186" w:lineRule="auto"/>
              <w:ind w:left="214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46" w:type="dxa"/>
            <w:vAlign w:val="top"/>
          </w:tcPr>
          <w:p>
            <w:pPr>
              <w:spacing w:before="220" w:line="187" w:lineRule="auto"/>
              <w:ind w:left="24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018</w:t>
            </w:r>
            <w:r>
              <w:rPr>
                <w:rFonts w:ascii="仿宋" w:hAnsi="仿宋" w:eastAsia="仿宋" w:cs="仿宋"/>
                <w:sz w:val="20"/>
                <w:szCs w:val="20"/>
              </w:rPr>
              <w:t>GKTSCX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061</w:t>
            </w:r>
          </w:p>
        </w:tc>
        <w:tc>
          <w:tcPr>
            <w:tcW w:w="4733" w:type="dxa"/>
            <w:vAlign w:val="top"/>
          </w:tcPr>
          <w:p>
            <w:pPr>
              <w:spacing w:before="185" w:line="231" w:lineRule="auto"/>
              <w:ind w:left="17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5"/>
                <w:sz w:val="20"/>
                <w:szCs w:val="20"/>
              </w:rPr>
              <w:t>基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于深度序列学习的流域极端降水预测方法研究</w:t>
            </w:r>
          </w:p>
        </w:tc>
        <w:tc>
          <w:tcPr>
            <w:tcW w:w="1782" w:type="dxa"/>
            <w:vAlign w:val="top"/>
          </w:tcPr>
          <w:p>
            <w:pPr>
              <w:spacing w:before="184" w:line="232" w:lineRule="auto"/>
              <w:ind w:left="59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李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雪真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20" w:type="dxa"/>
            <w:vAlign w:val="top"/>
          </w:tcPr>
          <w:p>
            <w:pPr>
              <w:spacing w:before="253" w:line="186" w:lineRule="auto"/>
              <w:ind w:left="215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46" w:type="dxa"/>
            <w:vAlign w:val="top"/>
          </w:tcPr>
          <w:p>
            <w:pPr>
              <w:spacing w:before="252" w:line="187" w:lineRule="auto"/>
              <w:ind w:left="24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018</w:t>
            </w:r>
            <w:r>
              <w:rPr>
                <w:rFonts w:ascii="仿宋" w:hAnsi="仿宋" w:eastAsia="仿宋" w:cs="仿宋"/>
                <w:sz w:val="20"/>
                <w:szCs w:val="20"/>
              </w:rPr>
              <w:t>GKTSCX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102</w:t>
            </w:r>
          </w:p>
        </w:tc>
        <w:tc>
          <w:tcPr>
            <w:tcW w:w="4733" w:type="dxa"/>
            <w:vAlign w:val="top"/>
          </w:tcPr>
          <w:p>
            <w:pPr>
              <w:spacing w:before="62" w:line="260" w:lineRule="auto"/>
              <w:ind w:left="2066" w:right="54" w:hanging="198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南方主载“灿烂”蓝莓中花青素提取工艺及组成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成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分研究</w:t>
            </w:r>
          </w:p>
        </w:tc>
        <w:tc>
          <w:tcPr>
            <w:tcW w:w="1782" w:type="dxa"/>
            <w:vAlign w:val="top"/>
          </w:tcPr>
          <w:p>
            <w:pPr>
              <w:spacing w:before="217" w:line="232" w:lineRule="auto"/>
              <w:ind w:left="69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刘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520" w:type="dxa"/>
            <w:vAlign w:val="top"/>
          </w:tcPr>
          <w:p>
            <w:pPr>
              <w:spacing w:before="141" w:line="186" w:lineRule="auto"/>
              <w:ind w:left="210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846" w:type="dxa"/>
            <w:vAlign w:val="top"/>
          </w:tcPr>
          <w:p>
            <w:pPr>
              <w:spacing w:before="105" w:line="234" w:lineRule="auto"/>
              <w:ind w:left="24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018</w:t>
            </w:r>
            <w:r>
              <w:rPr>
                <w:rFonts w:ascii="仿宋" w:hAnsi="仿宋" w:eastAsia="仿宋" w:cs="仿宋"/>
                <w:sz w:val="20"/>
                <w:szCs w:val="20"/>
              </w:rPr>
              <w:t>GkQNCX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114</w:t>
            </w:r>
          </w:p>
        </w:tc>
        <w:tc>
          <w:tcPr>
            <w:tcW w:w="4733" w:type="dxa"/>
            <w:vAlign w:val="top"/>
          </w:tcPr>
          <w:p>
            <w:pPr>
              <w:spacing w:before="105" w:line="229" w:lineRule="auto"/>
              <w:ind w:left="47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1"/>
                <w:sz w:val="20"/>
                <w:szCs w:val="20"/>
              </w:rPr>
              <w:t>“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</w:rPr>
              <w:t>流程式”护肤品旅行包装组合设计研究</w:t>
            </w:r>
          </w:p>
        </w:tc>
        <w:tc>
          <w:tcPr>
            <w:tcW w:w="1782" w:type="dxa"/>
            <w:vAlign w:val="top"/>
          </w:tcPr>
          <w:p>
            <w:pPr>
              <w:spacing w:before="104" w:line="232" w:lineRule="auto"/>
              <w:ind w:left="58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黄子威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520" w:type="dxa"/>
            <w:vAlign w:val="top"/>
          </w:tcPr>
          <w:p>
            <w:pPr>
              <w:spacing w:before="196" w:line="184" w:lineRule="auto"/>
              <w:ind w:left="215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846" w:type="dxa"/>
            <w:vAlign w:val="top"/>
          </w:tcPr>
          <w:p>
            <w:pPr>
              <w:spacing w:before="251" w:line="187" w:lineRule="auto"/>
              <w:ind w:left="246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018</w:t>
            </w:r>
            <w:r>
              <w:rPr>
                <w:rFonts w:ascii="仿宋" w:hAnsi="仿宋" w:eastAsia="仿宋" w:cs="仿宋"/>
                <w:sz w:val="20"/>
                <w:szCs w:val="20"/>
              </w:rPr>
              <w:t>GWQNCX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053</w:t>
            </w:r>
          </w:p>
        </w:tc>
        <w:tc>
          <w:tcPr>
            <w:tcW w:w="4733" w:type="dxa"/>
            <w:vAlign w:val="top"/>
          </w:tcPr>
          <w:p>
            <w:pPr>
              <w:spacing w:before="60" w:line="260" w:lineRule="auto"/>
              <w:ind w:left="1958" w:leftChars="0" w:right="107" w:rightChars="0" w:hanging="1833" w:firstLine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岭南文化-传统手工艺广绣在现代服装设计中创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新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应用研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究</w:t>
            </w:r>
          </w:p>
        </w:tc>
        <w:tc>
          <w:tcPr>
            <w:tcW w:w="1782" w:type="dxa"/>
            <w:vAlign w:val="top"/>
          </w:tcPr>
          <w:p>
            <w:pPr>
              <w:spacing w:before="215" w:line="232" w:lineRule="auto"/>
              <w:ind w:left="704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陈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520" w:type="dxa"/>
            <w:vAlign w:val="top"/>
          </w:tcPr>
          <w:p>
            <w:pPr>
              <w:spacing w:before="252" w:line="186" w:lineRule="auto"/>
              <w:ind w:left="213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846" w:type="dxa"/>
            <w:vAlign w:val="top"/>
          </w:tcPr>
          <w:p>
            <w:pPr>
              <w:spacing w:before="192" w:line="187" w:lineRule="auto"/>
              <w:ind w:left="246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019</w:t>
            </w:r>
            <w:r>
              <w:rPr>
                <w:rFonts w:ascii="仿宋" w:hAnsi="仿宋" w:eastAsia="仿宋" w:cs="仿宋"/>
                <w:sz w:val="20"/>
                <w:szCs w:val="20"/>
              </w:rPr>
              <w:t>GKTSCX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065</w:t>
            </w:r>
          </w:p>
        </w:tc>
        <w:tc>
          <w:tcPr>
            <w:tcW w:w="4733" w:type="dxa"/>
            <w:vAlign w:val="top"/>
          </w:tcPr>
          <w:p>
            <w:pPr>
              <w:spacing w:before="157" w:line="229" w:lineRule="auto"/>
              <w:ind w:left="383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3"/>
                <w:sz w:val="20"/>
                <w:szCs w:val="20"/>
              </w:rPr>
              <w:t>黄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花倒水莲皂苷合成关键酶基因的克隆鉴定</w:t>
            </w:r>
          </w:p>
        </w:tc>
        <w:tc>
          <w:tcPr>
            <w:tcW w:w="1782" w:type="dxa"/>
            <w:vAlign w:val="top"/>
          </w:tcPr>
          <w:p>
            <w:pPr>
              <w:spacing w:before="157" w:line="232" w:lineRule="auto"/>
              <w:ind w:left="695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胡</w:t>
            </w:r>
            <w:r>
              <w:rPr>
                <w:rFonts w:ascii="仿宋" w:hAnsi="仿宋" w:eastAsia="仿宋" w:cs="仿宋"/>
                <w:sz w:val="20"/>
                <w:szCs w:val="20"/>
              </w:rPr>
              <w:t>瑾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520" w:type="dxa"/>
            <w:vAlign w:val="top"/>
          </w:tcPr>
          <w:p>
            <w:pPr>
              <w:spacing w:before="195" w:line="184" w:lineRule="auto"/>
              <w:ind w:left="216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846" w:type="dxa"/>
            <w:vAlign w:val="top"/>
          </w:tcPr>
          <w:p>
            <w:pPr>
              <w:spacing w:before="167" w:line="187" w:lineRule="auto"/>
              <w:ind w:left="246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019</w:t>
            </w:r>
            <w:r>
              <w:rPr>
                <w:rFonts w:ascii="仿宋" w:hAnsi="仿宋" w:eastAsia="仿宋" w:cs="仿宋"/>
                <w:sz w:val="20"/>
                <w:szCs w:val="20"/>
              </w:rPr>
              <w:t>GKTSCX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067</w:t>
            </w:r>
          </w:p>
        </w:tc>
        <w:tc>
          <w:tcPr>
            <w:tcW w:w="4733" w:type="dxa"/>
            <w:vAlign w:val="top"/>
          </w:tcPr>
          <w:p>
            <w:pPr>
              <w:spacing w:before="132" w:line="229" w:lineRule="auto"/>
              <w:ind w:left="174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3"/>
                <w:sz w:val="20"/>
                <w:szCs w:val="20"/>
              </w:rPr>
              <w:t>珠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江三角洲地区极端风暴潮灾害风险精细化评估</w:t>
            </w:r>
          </w:p>
        </w:tc>
        <w:tc>
          <w:tcPr>
            <w:tcW w:w="1782" w:type="dxa"/>
            <w:vAlign w:val="top"/>
          </w:tcPr>
          <w:p>
            <w:pPr>
              <w:spacing w:before="132" w:line="231" w:lineRule="auto"/>
              <w:ind w:left="590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王喜娜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vAlign w:val="top"/>
          </w:tcPr>
          <w:p>
            <w:pPr>
              <w:spacing w:before="168" w:line="186" w:lineRule="auto"/>
              <w:ind w:left="212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846" w:type="dxa"/>
            <w:vAlign w:val="top"/>
          </w:tcPr>
          <w:p>
            <w:pPr>
              <w:spacing w:before="255" w:line="187" w:lineRule="auto"/>
              <w:ind w:left="246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019</w:t>
            </w:r>
            <w:r>
              <w:rPr>
                <w:rFonts w:ascii="仿宋" w:hAnsi="仿宋" w:eastAsia="仿宋" w:cs="仿宋"/>
                <w:sz w:val="20"/>
                <w:szCs w:val="20"/>
              </w:rPr>
              <w:t>GKQNCX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058</w:t>
            </w:r>
          </w:p>
        </w:tc>
        <w:tc>
          <w:tcPr>
            <w:tcW w:w="4733" w:type="dxa"/>
            <w:vAlign w:val="top"/>
          </w:tcPr>
          <w:p>
            <w:pPr>
              <w:spacing w:before="64" w:line="259" w:lineRule="auto"/>
              <w:ind w:left="1138" w:leftChars="0" w:right="54" w:rightChars="0" w:hanging="1065" w:firstLine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</w:rPr>
              <w:t>城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市困难立地绿化对城市空气质量的影响研究——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以粤港澳大湾区城市群为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例</w:t>
            </w:r>
          </w:p>
        </w:tc>
        <w:tc>
          <w:tcPr>
            <w:tcW w:w="1782" w:type="dxa"/>
            <w:vAlign w:val="top"/>
          </w:tcPr>
          <w:p>
            <w:pPr>
              <w:spacing w:before="220" w:line="232" w:lineRule="auto"/>
              <w:ind w:left="593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列淦文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20" w:type="dxa"/>
            <w:vAlign w:val="top"/>
          </w:tcPr>
          <w:p>
            <w:pPr>
              <w:spacing w:before="254" w:line="187" w:lineRule="auto"/>
              <w:ind w:left="176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846" w:type="dxa"/>
            <w:vAlign w:val="top"/>
          </w:tcPr>
          <w:p>
            <w:pPr>
              <w:spacing w:before="256" w:line="187" w:lineRule="auto"/>
              <w:ind w:left="246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019</w:t>
            </w:r>
            <w:r>
              <w:rPr>
                <w:rFonts w:ascii="仿宋" w:hAnsi="仿宋" w:eastAsia="仿宋" w:cs="仿宋"/>
                <w:sz w:val="20"/>
                <w:szCs w:val="20"/>
              </w:rPr>
              <w:t>GKQNCX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059</w:t>
            </w:r>
          </w:p>
        </w:tc>
        <w:tc>
          <w:tcPr>
            <w:tcW w:w="4733" w:type="dxa"/>
            <w:vAlign w:val="top"/>
          </w:tcPr>
          <w:p>
            <w:pPr>
              <w:spacing w:before="66" w:line="259" w:lineRule="auto"/>
              <w:ind w:left="1642" w:leftChars="0" w:right="54" w:rightChars="0" w:hanging="1574" w:firstLine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5"/>
                <w:sz w:val="20"/>
                <w:szCs w:val="20"/>
              </w:rPr>
              <w:t>广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藿香种质资源收集及基于分子水平的优质种苗快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速鉴定体系建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立</w:t>
            </w:r>
          </w:p>
        </w:tc>
        <w:tc>
          <w:tcPr>
            <w:tcW w:w="1782" w:type="dxa"/>
            <w:vAlign w:val="top"/>
          </w:tcPr>
          <w:p>
            <w:pPr>
              <w:spacing w:before="220" w:line="232" w:lineRule="auto"/>
              <w:ind w:left="590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王晓宇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520" w:type="dxa"/>
            <w:vAlign w:val="top"/>
          </w:tcPr>
          <w:p>
            <w:pPr>
              <w:spacing w:before="255" w:line="187" w:lineRule="auto"/>
              <w:ind w:left="176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846" w:type="dxa"/>
            <w:vAlign w:val="top"/>
          </w:tcPr>
          <w:p>
            <w:pPr>
              <w:spacing w:before="168" w:line="186" w:lineRule="auto"/>
              <w:ind w:left="298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020</w:t>
            </w:r>
            <w:r>
              <w:rPr>
                <w:rFonts w:ascii="仿宋" w:hAnsi="仿宋" w:eastAsia="仿宋" w:cs="仿宋"/>
                <w:sz w:val="20"/>
                <w:szCs w:val="20"/>
              </w:rPr>
              <w:t>KTSCX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269</w:t>
            </w:r>
          </w:p>
        </w:tc>
        <w:tc>
          <w:tcPr>
            <w:tcW w:w="4733" w:type="dxa"/>
            <w:vAlign w:val="top"/>
          </w:tcPr>
          <w:p>
            <w:pPr>
              <w:spacing w:before="132" w:line="230" w:lineRule="auto"/>
              <w:ind w:left="697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广东松材线虫疫木内栖真菌分离鉴定</w:t>
            </w:r>
          </w:p>
        </w:tc>
        <w:tc>
          <w:tcPr>
            <w:tcW w:w="1782" w:type="dxa"/>
            <w:vAlign w:val="top"/>
          </w:tcPr>
          <w:p>
            <w:pPr>
              <w:spacing w:before="131" w:line="232" w:lineRule="auto"/>
              <w:ind w:left="695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张</w:t>
            </w:r>
            <w:r>
              <w:rPr>
                <w:rFonts w:ascii="仿宋" w:hAnsi="仿宋" w:eastAsia="仿宋" w:cs="仿宋"/>
                <w:sz w:val="20"/>
                <w:szCs w:val="20"/>
              </w:rPr>
              <w:t>灿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20" w:type="dxa"/>
            <w:vAlign w:val="top"/>
          </w:tcPr>
          <w:p>
            <w:pPr>
              <w:spacing w:before="256" w:line="187" w:lineRule="auto"/>
              <w:ind w:left="176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846" w:type="dxa"/>
            <w:vAlign w:val="top"/>
          </w:tcPr>
          <w:p>
            <w:pPr>
              <w:spacing w:before="255" w:line="187" w:lineRule="auto"/>
              <w:ind w:left="298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020</w:t>
            </w:r>
            <w:r>
              <w:rPr>
                <w:rFonts w:ascii="仿宋" w:hAnsi="仿宋" w:eastAsia="仿宋" w:cs="仿宋"/>
                <w:sz w:val="20"/>
                <w:szCs w:val="20"/>
              </w:rPr>
              <w:t>WTSCX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193</w:t>
            </w:r>
          </w:p>
        </w:tc>
        <w:tc>
          <w:tcPr>
            <w:tcW w:w="4733" w:type="dxa"/>
            <w:vAlign w:val="top"/>
          </w:tcPr>
          <w:p>
            <w:pPr>
              <w:spacing w:before="65" w:line="259" w:lineRule="auto"/>
              <w:ind w:left="1645" w:leftChars="0" w:right="54" w:rightChars="0" w:hanging="1577" w:firstLine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5"/>
                <w:sz w:val="20"/>
                <w:szCs w:val="20"/>
              </w:rPr>
              <w:t>新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媒体背景下高职电商直播基地校企协同育人模式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</w:rPr>
              <w:t>及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实践路径研究</w:t>
            </w:r>
          </w:p>
        </w:tc>
        <w:tc>
          <w:tcPr>
            <w:tcW w:w="1782" w:type="dxa"/>
            <w:vAlign w:val="top"/>
          </w:tcPr>
          <w:p>
            <w:pPr>
              <w:spacing w:before="219" w:line="232" w:lineRule="auto"/>
              <w:ind w:left="591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尹冬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520" w:type="dxa"/>
            <w:vAlign w:val="top"/>
          </w:tcPr>
          <w:p>
            <w:pPr>
              <w:spacing w:before="172" w:line="187" w:lineRule="auto"/>
              <w:ind w:left="176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1</w:t>
            </w: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46" w:type="dxa"/>
            <w:vAlign w:val="top"/>
          </w:tcPr>
          <w:p>
            <w:pPr>
              <w:spacing w:before="256" w:line="187" w:lineRule="auto"/>
              <w:ind w:left="298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020</w:t>
            </w:r>
            <w:r>
              <w:rPr>
                <w:rFonts w:ascii="仿宋" w:hAnsi="仿宋" w:eastAsia="仿宋" w:cs="仿宋"/>
                <w:sz w:val="20"/>
                <w:szCs w:val="20"/>
              </w:rPr>
              <w:t>KQNCX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183</w:t>
            </w:r>
          </w:p>
        </w:tc>
        <w:tc>
          <w:tcPr>
            <w:tcW w:w="4733" w:type="dxa"/>
            <w:vAlign w:val="top"/>
          </w:tcPr>
          <w:p>
            <w:pPr>
              <w:spacing w:before="65" w:line="259" w:lineRule="auto"/>
              <w:ind w:left="2273" w:leftChars="0" w:right="54" w:rightChars="0" w:hanging="2204" w:firstLine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4"/>
                <w:sz w:val="20"/>
                <w:szCs w:val="20"/>
              </w:rPr>
              <w:t>基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于源解析的广州城市绿地土壤重金属污染风险评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价</w:t>
            </w:r>
          </w:p>
        </w:tc>
        <w:tc>
          <w:tcPr>
            <w:tcW w:w="1782" w:type="dxa"/>
            <w:vAlign w:val="top"/>
          </w:tcPr>
          <w:p>
            <w:pPr>
              <w:spacing w:before="220" w:line="229" w:lineRule="auto"/>
              <w:ind w:left="698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唐雄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20" w:type="dxa"/>
            <w:vAlign w:val="top"/>
          </w:tcPr>
          <w:p>
            <w:pPr>
              <w:spacing w:before="256" w:line="187" w:lineRule="auto"/>
              <w:ind w:left="176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1</w:t>
            </w: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46" w:type="dxa"/>
            <w:vAlign w:val="top"/>
          </w:tcPr>
          <w:p>
            <w:pPr>
              <w:spacing w:before="256" w:line="187" w:lineRule="auto"/>
              <w:ind w:left="298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020</w:t>
            </w:r>
            <w:r>
              <w:rPr>
                <w:rFonts w:ascii="仿宋" w:hAnsi="仿宋" w:eastAsia="仿宋" w:cs="仿宋"/>
                <w:sz w:val="20"/>
                <w:szCs w:val="20"/>
              </w:rPr>
              <w:t>KQNCX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184</w:t>
            </w:r>
          </w:p>
        </w:tc>
        <w:tc>
          <w:tcPr>
            <w:tcW w:w="4733" w:type="dxa"/>
            <w:vAlign w:val="top"/>
          </w:tcPr>
          <w:p>
            <w:pPr>
              <w:spacing w:before="65" w:line="259" w:lineRule="auto"/>
              <w:ind w:left="2169" w:leftChars="0" w:right="54" w:rightChars="0" w:hanging="2100" w:firstLine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4"/>
                <w:sz w:val="20"/>
                <w:szCs w:val="20"/>
              </w:rPr>
              <w:t>基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于海绵城市建设的珠三角城市绿地土壤蓄渗能力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评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价</w:t>
            </w:r>
          </w:p>
        </w:tc>
        <w:tc>
          <w:tcPr>
            <w:tcW w:w="1782" w:type="dxa"/>
            <w:vAlign w:val="top"/>
          </w:tcPr>
          <w:p>
            <w:pPr>
              <w:spacing w:before="220" w:line="232" w:lineRule="auto"/>
              <w:ind w:left="599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贾重建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520" w:type="dxa"/>
            <w:vAlign w:val="top"/>
          </w:tcPr>
          <w:p>
            <w:pPr>
              <w:spacing w:before="167" w:line="187" w:lineRule="auto"/>
              <w:ind w:left="176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1</w:t>
            </w: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846" w:type="dxa"/>
            <w:vAlign w:val="top"/>
          </w:tcPr>
          <w:p>
            <w:pPr>
              <w:spacing w:before="256" w:line="187" w:lineRule="auto"/>
              <w:ind w:left="298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020</w:t>
            </w:r>
            <w:r>
              <w:rPr>
                <w:rFonts w:ascii="仿宋" w:hAnsi="仿宋" w:eastAsia="仿宋" w:cs="仿宋"/>
                <w:sz w:val="20"/>
                <w:szCs w:val="20"/>
              </w:rPr>
              <w:t>WQNCX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151</w:t>
            </w:r>
          </w:p>
        </w:tc>
        <w:tc>
          <w:tcPr>
            <w:tcW w:w="4733" w:type="dxa"/>
            <w:vAlign w:val="top"/>
          </w:tcPr>
          <w:p>
            <w:pPr>
              <w:spacing w:before="65" w:line="259" w:lineRule="auto"/>
              <w:ind w:left="802" w:leftChars="0" w:right="54" w:rightChars="0" w:hanging="733" w:firstLine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4"/>
                <w:sz w:val="20"/>
                <w:szCs w:val="20"/>
              </w:rPr>
              <w:t>基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于使用后评价的城市微型公共空间模式构建策略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研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究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—— 以广州市开放式小区为例</w:t>
            </w:r>
          </w:p>
        </w:tc>
        <w:tc>
          <w:tcPr>
            <w:tcW w:w="1782" w:type="dxa"/>
            <w:vAlign w:val="top"/>
          </w:tcPr>
          <w:p>
            <w:pPr>
              <w:spacing w:before="220" w:line="232" w:lineRule="auto"/>
              <w:ind w:left="587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谢朝楠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20" w:type="dxa"/>
            <w:vAlign w:val="top"/>
          </w:tcPr>
          <w:p>
            <w:pPr>
              <w:spacing w:before="255" w:line="187" w:lineRule="auto"/>
              <w:ind w:left="176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1</w:t>
            </w: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846" w:type="dxa"/>
            <w:vAlign w:val="top"/>
          </w:tcPr>
          <w:p>
            <w:pPr>
              <w:spacing w:before="256" w:line="187" w:lineRule="auto"/>
              <w:ind w:left="298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020</w:t>
            </w:r>
            <w:r>
              <w:rPr>
                <w:rFonts w:ascii="仿宋" w:hAnsi="仿宋" w:eastAsia="仿宋" w:cs="仿宋"/>
                <w:sz w:val="20"/>
                <w:szCs w:val="20"/>
              </w:rPr>
              <w:t>WQNCX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152</w:t>
            </w:r>
          </w:p>
        </w:tc>
        <w:tc>
          <w:tcPr>
            <w:tcW w:w="4733" w:type="dxa"/>
            <w:vAlign w:val="top"/>
          </w:tcPr>
          <w:p>
            <w:pPr>
              <w:spacing w:before="65" w:line="259" w:lineRule="auto"/>
              <w:ind w:left="1664" w:leftChars="0" w:right="54" w:rightChars="0" w:hanging="1596" w:firstLine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5"/>
                <w:sz w:val="20"/>
                <w:szCs w:val="20"/>
              </w:rPr>
              <w:t>广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东省自然保护区生态旅游减贫效应评价研究——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以粤北地区为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例</w:t>
            </w:r>
          </w:p>
        </w:tc>
        <w:tc>
          <w:tcPr>
            <w:tcW w:w="1782" w:type="dxa"/>
            <w:vAlign w:val="top"/>
          </w:tcPr>
          <w:p>
            <w:pPr>
              <w:spacing w:before="220" w:line="231" w:lineRule="auto"/>
              <w:ind w:left="698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李樨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20" w:type="dxa"/>
            <w:vAlign w:val="top"/>
          </w:tcPr>
          <w:p>
            <w:pPr>
              <w:spacing w:before="255" w:line="187" w:lineRule="auto"/>
              <w:ind w:left="176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2021KTSCX254</w:t>
            </w:r>
          </w:p>
        </w:tc>
        <w:tc>
          <w:tcPr>
            <w:tcW w:w="4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植物病原线虫拮抗放线菌的分离、筛选与鉴定</w:t>
            </w:r>
          </w:p>
        </w:tc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王宏洪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20" w:type="dxa"/>
            <w:vAlign w:val="top"/>
          </w:tcPr>
          <w:p>
            <w:pPr>
              <w:spacing w:before="256" w:line="186" w:lineRule="auto"/>
              <w:ind w:left="163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2021KTSCX255</w:t>
            </w:r>
          </w:p>
        </w:tc>
        <w:tc>
          <w:tcPr>
            <w:tcW w:w="4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广东地区蚧虫种类调查及鉴定</w:t>
            </w:r>
          </w:p>
        </w:tc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黄少彬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20" w:type="dxa"/>
            <w:vAlign w:val="top"/>
          </w:tcPr>
          <w:p>
            <w:pPr>
              <w:spacing w:before="255" w:line="187" w:lineRule="auto"/>
              <w:ind w:left="163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2021WTSCX183</w:t>
            </w:r>
          </w:p>
        </w:tc>
        <w:tc>
          <w:tcPr>
            <w:tcW w:w="4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广式家具传统纹样库建设及应用研究</w:t>
            </w:r>
          </w:p>
        </w:tc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李静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520" w:type="dxa"/>
            <w:vAlign w:val="top"/>
          </w:tcPr>
          <w:p>
            <w:pPr>
              <w:spacing w:before="257" w:line="186" w:lineRule="auto"/>
              <w:ind w:left="163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2021KQNCX188</w:t>
            </w:r>
          </w:p>
        </w:tc>
        <w:tc>
          <w:tcPr>
            <w:tcW w:w="4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罗伊氏乳杆菌通过miR-196a抑制肠上皮细胞炎症反应和凋亡在肠炎治疗中的机制研究</w:t>
            </w:r>
          </w:p>
        </w:tc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谢梅英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5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仿宋" w:hAnsi="仿宋" w:eastAsia="仿宋" w:cs="仿宋"/>
                <w:spacing w:val="7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2021KQNCX189</w:t>
            </w:r>
          </w:p>
        </w:tc>
        <w:tc>
          <w:tcPr>
            <w:tcW w:w="4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嘉宝果不同品种在广州地区的物候期和农艺性状研究</w:t>
            </w:r>
          </w:p>
        </w:tc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覃俏梅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5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仿宋" w:hAnsi="仿宋" w:eastAsia="仿宋" w:cs="仿宋"/>
                <w:spacing w:val="7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2021WQNCX170</w:t>
            </w:r>
          </w:p>
        </w:tc>
        <w:tc>
          <w:tcPr>
            <w:tcW w:w="4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基于参数化技术的传统广作家具再设计研究</w:t>
            </w:r>
          </w:p>
        </w:tc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张佳琦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5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仿宋" w:hAnsi="仿宋" w:eastAsia="仿宋" w:cs="仿宋"/>
                <w:spacing w:val="7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8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2021WQNCX171</w:t>
            </w:r>
          </w:p>
        </w:tc>
        <w:tc>
          <w:tcPr>
            <w:tcW w:w="4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珠三角上市企业技术创新及其影响因素研究——基于研发投入与专利产出的视角</w:t>
            </w:r>
          </w:p>
        </w:tc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val="en-US" w:eastAsia="zh-CN"/>
              </w:rPr>
              <w:t>刘晓丽</w:t>
            </w:r>
          </w:p>
        </w:tc>
      </w:tr>
    </w:tbl>
    <w:p>
      <w:pPr>
        <w:spacing w:before="256" w:line="187" w:lineRule="auto"/>
        <w:ind w:left="298"/>
        <w:rPr>
          <w:rFonts w:ascii="仿宋" w:hAnsi="仿宋" w:eastAsia="仿宋" w:cs="仿宋"/>
          <w:spacing w:val="7"/>
          <w:sz w:val="20"/>
          <w:szCs w:val="20"/>
        </w:rPr>
      </w:pPr>
      <w:bookmarkStart w:id="0" w:name="_GoBack"/>
      <w:bookmarkEnd w:id="0"/>
    </w:p>
    <w:sectPr>
      <w:pgSz w:w="11906" w:h="16839"/>
      <w:pgMar w:top="1431" w:right="1157" w:bottom="0" w:left="150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